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28"/>
          <w:szCs w:val="28"/>
        </w:rPr>
      </w:pPr>
      <w:r>
        <w:rPr>
          <w:rFonts w:hint="eastAsia" w:ascii="仿宋" w:hAnsi="仿宋" w:eastAsia="仿宋"/>
          <w:b/>
          <w:bCs/>
          <w:sz w:val="28"/>
          <w:szCs w:val="28"/>
        </w:rPr>
        <w:t>中信证券公开募集</w:t>
      </w:r>
      <w:r>
        <w:rPr>
          <w:rFonts w:hint="eastAsia" w:ascii="仿宋" w:hAnsi="仿宋" w:eastAsia="仿宋"/>
          <w:b/>
          <w:bCs/>
          <w:sz w:val="28"/>
          <w:szCs w:val="28"/>
          <w:lang w:eastAsia="zh-CN"/>
        </w:rPr>
        <w:t>不动产投资信托</w:t>
      </w:r>
      <w:r>
        <w:rPr>
          <w:rFonts w:hint="eastAsia" w:ascii="仿宋" w:hAnsi="仿宋" w:eastAsia="仿宋"/>
          <w:b/>
          <w:bCs/>
          <w:sz w:val="28"/>
          <w:szCs w:val="28"/>
        </w:rPr>
        <w:t>基金(REITs)</w:t>
      </w:r>
    </w:p>
    <w:p>
      <w:pPr>
        <w:spacing w:after="240"/>
        <w:jc w:val="center"/>
        <w:rPr>
          <w:rFonts w:ascii="仿宋" w:hAnsi="仿宋" w:eastAsia="仿宋"/>
          <w:b/>
          <w:bCs/>
          <w:sz w:val="28"/>
          <w:szCs w:val="28"/>
        </w:rPr>
      </w:pPr>
      <w:r>
        <w:rPr>
          <w:rFonts w:hint="eastAsia" w:ascii="仿宋" w:hAnsi="仿宋" w:eastAsia="仿宋"/>
          <w:b/>
          <w:bCs/>
          <w:sz w:val="28"/>
          <w:szCs w:val="28"/>
        </w:rPr>
        <w:t xml:space="preserve"> 投资者风险揭示书（场外版本）</w:t>
      </w:r>
    </w:p>
    <w:p>
      <w:pPr>
        <w:spacing w:line="420" w:lineRule="exact"/>
        <w:rPr>
          <w:rFonts w:ascii="仿宋" w:hAnsi="仿宋" w:eastAsia="仿宋" w:cs="仿宋"/>
          <w:color w:val="000000"/>
          <w:kern w:val="0"/>
          <w:sz w:val="28"/>
          <w:szCs w:val="28"/>
        </w:rPr>
      </w:pPr>
      <w:r>
        <w:rPr>
          <w:rFonts w:hint="eastAsia" w:ascii="仿宋" w:hAnsi="仿宋" w:eastAsia="仿宋" w:cs="仿宋"/>
          <w:b/>
          <w:color w:val="000000"/>
          <w:kern w:val="0"/>
          <w:sz w:val="28"/>
          <w:szCs w:val="28"/>
        </w:rPr>
        <w:t>特别提示：</w:t>
      </w:r>
      <w:r>
        <w:rPr>
          <w:rFonts w:hint="eastAsia" w:ascii="仿宋" w:hAnsi="仿宋" w:eastAsia="仿宋" w:cs="仿宋"/>
          <w:color w:val="000000"/>
          <w:kern w:val="0"/>
          <w:sz w:val="28"/>
          <w:szCs w:val="28"/>
        </w:rPr>
        <w:t>本风险揭示书所称“中信证券”，指“中信证券股份有限公司”或“中信证券(山东)有限责任公司”或“中信证券华南股份有限公司”之一，具体视签约客户认购对应主体销售之公开募集</w:t>
      </w:r>
      <w:r>
        <w:rPr>
          <w:rFonts w:hint="eastAsia" w:ascii="仿宋" w:hAnsi="仿宋" w:eastAsia="仿宋" w:cs="仿宋"/>
          <w:color w:val="000000"/>
          <w:kern w:val="0"/>
          <w:sz w:val="28"/>
          <w:szCs w:val="28"/>
          <w:lang w:eastAsia="zh-CN"/>
        </w:rPr>
        <w:t>不动产投资信托</w:t>
      </w:r>
      <w:r>
        <w:rPr>
          <w:rFonts w:hint="eastAsia" w:ascii="仿宋" w:hAnsi="仿宋" w:eastAsia="仿宋" w:cs="仿宋"/>
          <w:color w:val="000000"/>
          <w:kern w:val="0"/>
          <w:sz w:val="28"/>
          <w:szCs w:val="28"/>
        </w:rPr>
        <w:t>基金(REITs)时实际使用的账户开立机构而定，例如：对于使用在中信证券(山东)有限责任公司开立的账户进行交易的客户，本风险揭示书中的“中信证券”指中信证券(山东)有限责任公司。</w:t>
      </w:r>
    </w:p>
    <w:p>
      <w:pPr>
        <w:pStyle w:val="4"/>
        <w:spacing w:before="240" w:line="420" w:lineRule="exact"/>
        <w:rPr>
          <w:rFonts w:ascii="仿宋" w:hAnsi="仿宋" w:eastAsia="仿宋"/>
          <w:b/>
          <w:sz w:val="28"/>
          <w:szCs w:val="28"/>
        </w:rPr>
      </w:pPr>
      <w:r>
        <w:rPr>
          <w:rFonts w:hint="eastAsia" w:ascii="仿宋" w:hAnsi="仿宋" w:eastAsia="仿宋"/>
          <w:b/>
          <w:sz w:val="28"/>
          <w:szCs w:val="28"/>
        </w:rPr>
        <w:t>尊敬的投资者：</w:t>
      </w:r>
    </w:p>
    <w:p>
      <w:pPr>
        <w:spacing w:line="42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投资有风险。当您/贵机构认购中信证券销售的公开募集</w:t>
      </w:r>
      <w:r>
        <w:rPr>
          <w:rFonts w:hint="eastAsia" w:ascii="仿宋" w:hAnsi="仿宋" w:eastAsia="仿宋" w:cs="仿宋"/>
          <w:color w:val="000000"/>
          <w:kern w:val="0"/>
          <w:sz w:val="28"/>
          <w:szCs w:val="28"/>
          <w:lang w:eastAsia="zh-CN"/>
        </w:rPr>
        <w:t>不动产投资信托</w:t>
      </w:r>
      <w:r>
        <w:rPr>
          <w:rFonts w:hint="eastAsia" w:ascii="仿宋" w:hAnsi="仿宋" w:eastAsia="仿宋" w:cs="仿宋"/>
          <w:color w:val="000000"/>
          <w:kern w:val="0"/>
          <w:sz w:val="28"/>
          <w:szCs w:val="28"/>
        </w:rPr>
        <w:t>基金(REITs)</w:t>
      </w:r>
      <w:r>
        <w:rPr>
          <w:rFonts w:hint="eastAsia" w:ascii="仿宋" w:hAnsi="仿宋" w:eastAsia="仿宋"/>
          <w:sz w:val="28"/>
          <w:szCs w:val="28"/>
          <w:lang w:eastAsia="zh-CN"/>
        </w:rPr>
        <w:t>（以下简称不动产基金、</w:t>
      </w:r>
      <w:r>
        <w:rPr>
          <w:rFonts w:hint="eastAsia" w:ascii="仿宋" w:hAnsi="仿宋" w:eastAsia="仿宋"/>
          <w:sz w:val="28"/>
          <w:szCs w:val="28"/>
          <w:lang w:val="en-US" w:eastAsia="zh-CN"/>
        </w:rPr>
        <w:t>基金</w:t>
      </w:r>
      <w:r>
        <w:rPr>
          <w:rFonts w:hint="eastAsia" w:ascii="仿宋" w:hAnsi="仿宋" w:eastAsia="仿宋"/>
          <w:sz w:val="28"/>
          <w:szCs w:val="28"/>
          <w:lang w:eastAsia="zh-CN"/>
        </w:rPr>
        <w:t>）</w:t>
      </w:r>
      <w:r>
        <w:rPr>
          <w:rFonts w:hint="eastAsia" w:ascii="仿宋" w:hAnsi="仿宋" w:eastAsia="仿宋" w:cs="仿宋"/>
          <w:color w:val="000000"/>
          <w:kern w:val="0"/>
          <w:sz w:val="28"/>
          <w:szCs w:val="28"/>
        </w:rPr>
        <w:t>时，可能获得投资收益，但同时也面临着投资风险。您/贵机构</w:t>
      </w:r>
      <w:r>
        <w:rPr>
          <w:rFonts w:hint="eastAsia" w:ascii="仿宋" w:hAnsi="仿宋" w:eastAsia="仿宋"/>
          <w:sz w:val="28"/>
          <w:szCs w:val="28"/>
        </w:rPr>
        <w:t>在参与</w:t>
      </w:r>
      <w:r>
        <w:rPr>
          <w:rFonts w:hint="eastAsia" w:ascii="仿宋" w:hAnsi="仿宋" w:eastAsia="仿宋"/>
          <w:sz w:val="28"/>
          <w:szCs w:val="28"/>
          <w:lang w:eastAsia="zh-CN"/>
        </w:rPr>
        <w:t>不动产基金</w:t>
      </w:r>
      <w:r>
        <w:rPr>
          <w:rFonts w:hint="eastAsia" w:ascii="仿宋" w:hAnsi="仿宋" w:eastAsia="仿宋"/>
          <w:sz w:val="28"/>
          <w:szCs w:val="28"/>
        </w:rPr>
        <w:t>相关业务前，</w:t>
      </w:r>
      <w:r>
        <w:rPr>
          <w:rFonts w:hint="eastAsia" w:ascii="仿宋" w:hAnsi="仿宋" w:eastAsia="仿宋" w:cs="仿宋"/>
          <w:color w:val="000000"/>
          <w:kern w:val="0"/>
          <w:sz w:val="28"/>
          <w:szCs w:val="28"/>
        </w:rPr>
        <w:t>务必</w:t>
      </w:r>
      <w:r>
        <w:rPr>
          <w:rFonts w:hint="eastAsia" w:ascii="仿宋" w:hAnsi="仿宋" w:eastAsia="仿宋"/>
          <w:sz w:val="28"/>
          <w:szCs w:val="28"/>
        </w:rPr>
        <w:t>认真阅读基金管理人提供的基金合同、招募说明书、风险揭示书等法律文件以及中信证券作为销售机构提供的本《风险揭示书》，熟悉</w:t>
      </w:r>
      <w:r>
        <w:rPr>
          <w:rFonts w:hint="eastAsia" w:ascii="仿宋" w:hAnsi="仿宋" w:eastAsia="仿宋"/>
          <w:sz w:val="28"/>
          <w:szCs w:val="28"/>
          <w:lang w:eastAsia="zh-CN"/>
        </w:rPr>
        <w:t>不动产基金</w:t>
      </w:r>
      <w:r>
        <w:rPr>
          <w:rFonts w:hint="eastAsia" w:ascii="仿宋" w:hAnsi="仿宋" w:eastAsia="仿宋"/>
          <w:sz w:val="28"/>
          <w:szCs w:val="28"/>
        </w:rPr>
        <w:t>相关规则，充分了解</w:t>
      </w:r>
      <w:r>
        <w:rPr>
          <w:rFonts w:hint="eastAsia" w:ascii="仿宋" w:hAnsi="仿宋" w:eastAsia="仿宋"/>
          <w:sz w:val="28"/>
          <w:szCs w:val="28"/>
          <w:lang w:eastAsia="zh-CN"/>
        </w:rPr>
        <w:t>不动产基金</w:t>
      </w:r>
      <w:r>
        <w:rPr>
          <w:rFonts w:hint="eastAsia" w:ascii="仿宋" w:hAnsi="仿宋" w:eastAsia="仿宋"/>
          <w:sz w:val="28"/>
          <w:szCs w:val="28"/>
        </w:rPr>
        <w:t>产品结构、风险收益特征和可能存在的各类风险，</w:t>
      </w:r>
      <w:r>
        <w:rPr>
          <w:rFonts w:hint="eastAsia" w:ascii="仿宋" w:hAnsi="仿宋" w:eastAsia="仿宋" w:cs="仿宋"/>
          <w:color w:val="000000"/>
          <w:kern w:val="0"/>
          <w:sz w:val="28"/>
          <w:szCs w:val="28"/>
        </w:rPr>
        <w:t>充分考虑自身的财务状况、投资目标和风险承受能力，理性判断并谨慎</w:t>
      </w:r>
      <w:r>
        <w:rPr>
          <w:rFonts w:hint="eastAsia" w:ascii="仿宋" w:hAnsi="仿宋" w:eastAsia="仿宋"/>
          <w:sz w:val="28"/>
          <w:szCs w:val="28"/>
        </w:rPr>
        <w:t>做出投资决策，自行承担投资风险。</w:t>
      </w:r>
    </w:p>
    <w:p>
      <w:pPr>
        <w:pStyle w:val="4"/>
        <w:spacing w:line="420" w:lineRule="exact"/>
        <w:ind w:firstLine="560" w:firstLineChars="200"/>
        <w:rPr>
          <w:rFonts w:ascii="仿宋" w:hAnsi="仿宋" w:eastAsia="仿宋" w:cs="仿宋"/>
          <w:sz w:val="28"/>
          <w:szCs w:val="28"/>
        </w:rPr>
      </w:pPr>
      <w:r>
        <w:rPr>
          <w:rFonts w:hint="eastAsia" w:ascii="仿宋" w:hAnsi="仿宋" w:eastAsia="仿宋"/>
          <w:sz w:val="28"/>
          <w:szCs w:val="28"/>
        </w:rPr>
        <w:t>根据有关法律法规，本基金的销售机构中信证券及投资者分别作出如下风险揭示及声明：</w:t>
      </w:r>
    </w:p>
    <w:p>
      <w:pPr>
        <w:pStyle w:val="4"/>
        <w:spacing w:line="420" w:lineRule="exact"/>
        <w:ind w:firstLine="560"/>
        <w:rPr>
          <w:rFonts w:ascii="仿宋" w:hAnsi="仿宋" w:eastAsia="仿宋"/>
          <w:b/>
          <w:sz w:val="28"/>
          <w:szCs w:val="28"/>
        </w:rPr>
      </w:pPr>
      <w:r>
        <w:rPr>
          <w:rFonts w:hint="eastAsia" w:ascii="仿宋" w:hAnsi="仿宋" w:eastAsia="仿宋"/>
          <w:b/>
          <w:sz w:val="28"/>
          <w:szCs w:val="28"/>
        </w:rPr>
        <w:t>一、销售机构特别风险揭示</w:t>
      </w:r>
    </w:p>
    <w:p>
      <w:pPr>
        <w:pStyle w:val="4"/>
        <w:spacing w:line="420" w:lineRule="exact"/>
        <w:ind w:firstLine="560" w:firstLineChars="200"/>
        <w:rPr>
          <w:rFonts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eastAsia="zh-CN"/>
        </w:rPr>
        <w:t>不动产基金</w:t>
      </w:r>
      <w:r>
        <w:rPr>
          <w:rFonts w:hint="eastAsia" w:ascii="仿宋" w:hAnsi="仿宋" w:eastAsia="仿宋"/>
          <w:sz w:val="28"/>
          <w:szCs w:val="28"/>
        </w:rPr>
        <w:t>采用“公募基金+</w:t>
      </w:r>
      <w:r>
        <w:rPr>
          <w:rFonts w:hint="eastAsia" w:ascii="仿宋" w:hAnsi="仿宋" w:eastAsia="仿宋"/>
          <w:sz w:val="28"/>
          <w:szCs w:val="28"/>
          <w:lang w:eastAsia="zh-CN"/>
        </w:rPr>
        <w:t>资产支持</w:t>
      </w:r>
      <w:r>
        <w:rPr>
          <w:rFonts w:hint="eastAsia" w:ascii="仿宋" w:hAnsi="仿宋" w:eastAsia="仿宋"/>
          <w:sz w:val="28"/>
          <w:szCs w:val="28"/>
        </w:rPr>
        <w:t>证券”的产品结构，主要特点如下：一是</w:t>
      </w:r>
      <w:r>
        <w:rPr>
          <w:rFonts w:hint="eastAsia" w:ascii="仿宋" w:hAnsi="仿宋" w:eastAsia="仿宋"/>
          <w:sz w:val="28"/>
          <w:szCs w:val="28"/>
          <w:lang w:eastAsia="zh-CN"/>
        </w:rPr>
        <w:t>不动产基金</w:t>
      </w:r>
      <w:r>
        <w:rPr>
          <w:rFonts w:hint="eastAsia" w:ascii="仿宋" w:hAnsi="仿宋" w:eastAsia="仿宋"/>
          <w:sz w:val="28"/>
          <w:szCs w:val="28"/>
        </w:rPr>
        <w:t>与投资股票或</w:t>
      </w:r>
      <w:r>
        <w:rPr>
          <w:rFonts w:hint="eastAsia" w:ascii="仿宋" w:hAnsi="仿宋" w:eastAsia="仿宋"/>
          <w:sz w:val="28"/>
          <w:szCs w:val="28"/>
          <w:lang w:val="en-US" w:eastAsia="zh-CN"/>
        </w:rPr>
        <w:t>者</w:t>
      </w:r>
      <w:r>
        <w:rPr>
          <w:rFonts w:hint="eastAsia" w:ascii="仿宋" w:hAnsi="仿宋" w:eastAsia="仿宋"/>
          <w:sz w:val="28"/>
          <w:szCs w:val="28"/>
        </w:rPr>
        <w:t>债券</w:t>
      </w:r>
      <w:r>
        <w:rPr>
          <w:rFonts w:hint="eastAsia" w:ascii="仿宋" w:hAnsi="仿宋" w:eastAsia="仿宋"/>
          <w:sz w:val="28"/>
          <w:szCs w:val="28"/>
          <w:lang w:val="en-US" w:eastAsia="zh-CN"/>
        </w:rPr>
        <w:t>等</w:t>
      </w:r>
      <w:r>
        <w:rPr>
          <w:rFonts w:hint="eastAsia" w:ascii="仿宋" w:hAnsi="仿宋" w:eastAsia="仿宋"/>
          <w:sz w:val="28"/>
          <w:szCs w:val="28"/>
        </w:rPr>
        <w:t>公募基金具有不同的风险收益特征，80%以上基金资产投资于</w:t>
      </w:r>
      <w:r>
        <w:rPr>
          <w:rFonts w:hint="eastAsia" w:ascii="仿宋" w:hAnsi="仿宋" w:eastAsia="仿宋"/>
          <w:sz w:val="28"/>
          <w:szCs w:val="28"/>
          <w:lang w:eastAsia="zh-CN"/>
        </w:rPr>
        <w:t>不动产资产支持</w:t>
      </w:r>
      <w:r>
        <w:rPr>
          <w:rFonts w:hint="eastAsia" w:ascii="仿宋" w:hAnsi="仿宋" w:eastAsia="仿宋"/>
          <w:sz w:val="28"/>
          <w:szCs w:val="28"/>
        </w:rPr>
        <w:t>证券，并持有其全部份额，基金通过</w:t>
      </w:r>
      <w:r>
        <w:rPr>
          <w:rFonts w:hint="eastAsia" w:ascii="仿宋" w:hAnsi="仿宋" w:eastAsia="仿宋"/>
          <w:sz w:val="28"/>
          <w:szCs w:val="28"/>
          <w:lang w:eastAsia="zh-CN"/>
        </w:rPr>
        <w:t>不动产资产支持</w:t>
      </w:r>
      <w:r>
        <w:rPr>
          <w:rFonts w:hint="eastAsia" w:ascii="仿宋" w:hAnsi="仿宋" w:eastAsia="仿宋"/>
          <w:sz w:val="28"/>
          <w:szCs w:val="28"/>
        </w:rPr>
        <w:t>证券持有</w:t>
      </w:r>
      <w:r>
        <w:rPr>
          <w:rFonts w:hint="eastAsia" w:ascii="仿宋" w:hAnsi="仿宋" w:eastAsia="仿宋"/>
          <w:sz w:val="28"/>
          <w:szCs w:val="28"/>
          <w:lang w:eastAsia="zh-CN"/>
        </w:rPr>
        <w:t>不动产项目</w:t>
      </w:r>
      <w:r>
        <w:rPr>
          <w:rFonts w:hint="eastAsia" w:ascii="仿宋" w:hAnsi="仿宋" w:eastAsia="仿宋"/>
          <w:sz w:val="28"/>
          <w:szCs w:val="28"/>
        </w:rPr>
        <w:t>公司全部股权，穿透取得</w:t>
      </w:r>
      <w:r>
        <w:rPr>
          <w:rFonts w:hint="eastAsia" w:ascii="仿宋" w:hAnsi="仿宋" w:eastAsia="仿宋"/>
          <w:sz w:val="28"/>
          <w:szCs w:val="28"/>
          <w:lang w:eastAsia="zh-CN"/>
        </w:rPr>
        <w:t>不动产项目</w:t>
      </w:r>
      <w:r>
        <w:rPr>
          <w:rFonts w:hint="eastAsia" w:ascii="仿宋" w:hAnsi="仿宋" w:eastAsia="仿宋"/>
          <w:sz w:val="28"/>
          <w:szCs w:val="28"/>
        </w:rPr>
        <w:t>完全所有权或</w:t>
      </w:r>
      <w:r>
        <w:rPr>
          <w:rFonts w:hint="eastAsia" w:ascii="仿宋" w:hAnsi="仿宋" w:eastAsia="仿宋"/>
          <w:sz w:val="28"/>
          <w:szCs w:val="28"/>
          <w:lang w:val="en-US" w:eastAsia="zh-CN"/>
        </w:rPr>
        <w:t>者</w:t>
      </w:r>
      <w:r>
        <w:rPr>
          <w:rFonts w:hint="eastAsia" w:ascii="仿宋" w:hAnsi="仿宋" w:eastAsia="仿宋"/>
          <w:sz w:val="28"/>
          <w:szCs w:val="28"/>
        </w:rPr>
        <w:t>经营权利；二是</w:t>
      </w:r>
      <w:r>
        <w:rPr>
          <w:rFonts w:hint="eastAsia" w:ascii="仿宋" w:hAnsi="仿宋" w:eastAsia="仿宋"/>
          <w:sz w:val="28"/>
          <w:szCs w:val="28"/>
          <w:lang w:eastAsia="zh-CN"/>
        </w:rPr>
        <w:t>不动产基金</w:t>
      </w:r>
      <w:r>
        <w:rPr>
          <w:rFonts w:hint="eastAsia" w:ascii="仿宋" w:hAnsi="仿宋" w:eastAsia="仿宋"/>
          <w:sz w:val="28"/>
          <w:szCs w:val="28"/>
        </w:rPr>
        <w:t>以获取</w:t>
      </w:r>
      <w:r>
        <w:rPr>
          <w:rFonts w:hint="eastAsia" w:ascii="仿宋" w:hAnsi="仿宋" w:eastAsia="仿宋"/>
          <w:sz w:val="28"/>
          <w:szCs w:val="28"/>
          <w:lang w:eastAsia="zh-CN"/>
        </w:rPr>
        <w:t>不动产项目</w:t>
      </w:r>
      <w:r>
        <w:rPr>
          <w:rFonts w:hint="eastAsia" w:ascii="仿宋" w:hAnsi="仿宋" w:eastAsia="仿宋"/>
          <w:sz w:val="28"/>
          <w:szCs w:val="28"/>
        </w:rPr>
        <w:t>租金、收费等稳定现金流为主要目的，收益分配比例不低于合并后基金年度可供分配金额的90%；三是</w:t>
      </w:r>
      <w:r>
        <w:rPr>
          <w:rFonts w:hint="eastAsia" w:ascii="仿宋" w:hAnsi="仿宋" w:eastAsia="仿宋"/>
          <w:sz w:val="28"/>
          <w:szCs w:val="28"/>
          <w:lang w:eastAsia="zh-CN"/>
        </w:rPr>
        <w:t>不动产基金</w:t>
      </w:r>
      <w:r>
        <w:rPr>
          <w:rFonts w:hint="eastAsia" w:ascii="仿宋" w:hAnsi="仿宋" w:eastAsia="仿宋"/>
          <w:sz w:val="28"/>
          <w:szCs w:val="28"/>
        </w:rPr>
        <w:t>采取封闭式运作，不开放申购与赎回，在证券交易所上市，场外份额持有人需将基金份额转托管至场内才可卖出或申报预受要约。</w:t>
      </w:r>
    </w:p>
    <w:p>
      <w:pPr>
        <w:pStyle w:val="4"/>
        <w:spacing w:line="420" w:lineRule="exact"/>
        <w:ind w:firstLine="560" w:firstLineChars="200"/>
        <w:rPr>
          <w:rFonts w:ascii="仿宋" w:hAnsi="仿宋" w:eastAsia="仿宋"/>
          <w:sz w:val="28"/>
          <w:szCs w:val="28"/>
        </w:rPr>
      </w:pPr>
      <w:r>
        <w:rPr>
          <w:rFonts w:hint="eastAsia" w:ascii="仿宋" w:hAnsi="仿宋" w:eastAsia="仿宋"/>
          <w:sz w:val="28"/>
          <w:szCs w:val="28"/>
        </w:rPr>
        <w:t>（二）投资</w:t>
      </w:r>
      <w:r>
        <w:rPr>
          <w:rFonts w:hint="eastAsia" w:ascii="仿宋" w:hAnsi="仿宋" w:eastAsia="仿宋"/>
          <w:sz w:val="28"/>
          <w:szCs w:val="28"/>
          <w:lang w:eastAsia="zh-CN"/>
        </w:rPr>
        <w:t>不动产基金</w:t>
      </w:r>
      <w:r>
        <w:rPr>
          <w:rFonts w:hint="eastAsia" w:ascii="仿宋" w:hAnsi="仿宋" w:eastAsia="仿宋"/>
          <w:sz w:val="28"/>
          <w:szCs w:val="28"/>
        </w:rPr>
        <w:t>可能面临以下风险，包括但不限于：</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1.基金价格波动风险。</w:t>
      </w:r>
      <w:r>
        <w:rPr>
          <w:rFonts w:hint="eastAsia" w:ascii="仿宋" w:hAnsi="仿宋" w:eastAsia="仿宋"/>
          <w:sz w:val="28"/>
          <w:szCs w:val="28"/>
          <w:lang w:eastAsia="zh-CN"/>
        </w:rPr>
        <w:t>不动产基金</w:t>
      </w:r>
      <w:r>
        <w:rPr>
          <w:rFonts w:hint="eastAsia" w:ascii="仿宋" w:hAnsi="仿宋" w:eastAsia="仿宋"/>
          <w:sz w:val="28"/>
          <w:szCs w:val="28"/>
        </w:rPr>
        <w:t>大部分资产投资于</w:t>
      </w:r>
      <w:r>
        <w:rPr>
          <w:rFonts w:hint="eastAsia" w:ascii="仿宋" w:hAnsi="仿宋" w:eastAsia="仿宋"/>
          <w:sz w:val="28"/>
          <w:szCs w:val="28"/>
          <w:lang w:eastAsia="zh-CN"/>
        </w:rPr>
        <w:t>不动产项目</w:t>
      </w:r>
      <w:r>
        <w:rPr>
          <w:rFonts w:hint="eastAsia" w:ascii="仿宋" w:hAnsi="仿宋" w:eastAsia="仿宋"/>
          <w:sz w:val="28"/>
          <w:szCs w:val="28"/>
        </w:rPr>
        <w:t>，具有权益属性，受经济环境、运营管理等因素影响，</w:t>
      </w:r>
      <w:r>
        <w:rPr>
          <w:rFonts w:hint="eastAsia" w:ascii="仿宋" w:hAnsi="仿宋" w:eastAsia="仿宋"/>
          <w:sz w:val="28"/>
          <w:szCs w:val="28"/>
          <w:lang w:eastAsia="zh-CN"/>
        </w:rPr>
        <w:t>不动产项目</w:t>
      </w:r>
      <w:r>
        <w:rPr>
          <w:rFonts w:hint="eastAsia" w:ascii="仿宋" w:hAnsi="仿宋" w:eastAsia="仿宋"/>
          <w:sz w:val="28"/>
          <w:szCs w:val="28"/>
        </w:rPr>
        <w:t>市场价值</w:t>
      </w:r>
      <w:r>
        <w:rPr>
          <w:rFonts w:hint="eastAsia" w:ascii="仿宋" w:hAnsi="仿宋" w:eastAsia="仿宋"/>
          <w:sz w:val="28"/>
          <w:szCs w:val="28"/>
          <w:lang w:val="en-US" w:eastAsia="zh-CN"/>
        </w:rPr>
        <w:t>以</w:t>
      </w:r>
      <w:r>
        <w:rPr>
          <w:rFonts w:hint="eastAsia" w:ascii="仿宋" w:hAnsi="仿宋" w:eastAsia="仿宋"/>
          <w:sz w:val="28"/>
          <w:szCs w:val="28"/>
        </w:rPr>
        <w:t>及现金流情况可能发生变化，可能引起</w:t>
      </w:r>
      <w:r>
        <w:rPr>
          <w:rFonts w:hint="eastAsia" w:ascii="仿宋" w:hAnsi="仿宋" w:eastAsia="仿宋"/>
          <w:sz w:val="28"/>
          <w:szCs w:val="28"/>
          <w:lang w:eastAsia="zh-CN"/>
        </w:rPr>
        <w:t>不动产基金</w:t>
      </w:r>
      <w:r>
        <w:rPr>
          <w:rFonts w:hint="eastAsia" w:ascii="仿宋" w:hAnsi="仿宋" w:eastAsia="仿宋"/>
          <w:sz w:val="28"/>
          <w:szCs w:val="28"/>
        </w:rPr>
        <w:t>价格波动，甚至存在</w:t>
      </w:r>
      <w:r>
        <w:rPr>
          <w:rFonts w:hint="eastAsia" w:ascii="仿宋" w:hAnsi="仿宋" w:eastAsia="仿宋"/>
          <w:sz w:val="28"/>
          <w:szCs w:val="28"/>
          <w:lang w:eastAsia="zh-CN"/>
        </w:rPr>
        <w:t>不动产项目</w:t>
      </w:r>
      <w:r>
        <w:rPr>
          <w:rFonts w:hint="eastAsia" w:ascii="仿宋" w:hAnsi="仿宋" w:eastAsia="仿宋"/>
          <w:sz w:val="28"/>
          <w:szCs w:val="28"/>
        </w:rPr>
        <w:t>遭遇极端事件（如地震、台风、火灾、战争等）发生较大损失而影响基金价格的风险。</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不动产项目</w:t>
      </w:r>
      <w:r>
        <w:rPr>
          <w:rFonts w:hint="eastAsia" w:ascii="仿宋" w:hAnsi="仿宋" w:eastAsia="仿宋"/>
          <w:sz w:val="28"/>
          <w:szCs w:val="28"/>
        </w:rPr>
        <w:t>运营风险。</w:t>
      </w:r>
      <w:r>
        <w:rPr>
          <w:rFonts w:hint="eastAsia" w:ascii="仿宋" w:hAnsi="仿宋" w:eastAsia="仿宋"/>
          <w:sz w:val="28"/>
          <w:szCs w:val="28"/>
          <w:lang w:eastAsia="zh-CN"/>
        </w:rPr>
        <w:t>不动产基金</w:t>
      </w:r>
      <w:r>
        <w:rPr>
          <w:rFonts w:hint="eastAsia" w:ascii="仿宋" w:hAnsi="仿宋" w:eastAsia="仿宋"/>
          <w:sz w:val="28"/>
          <w:szCs w:val="28"/>
        </w:rPr>
        <w:t>投资集中度高，收益率很大程度依赖</w:t>
      </w:r>
      <w:r>
        <w:rPr>
          <w:rFonts w:hint="eastAsia" w:ascii="仿宋" w:hAnsi="仿宋" w:eastAsia="仿宋"/>
          <w:sz w:val="28"/>
          <w:szCs w:val="28"/>
          <w:lang w:eastAsia="zh-CN"/>
        </w:rPr>
        <w:t>不动产项目</w:t>
      </w:r>
      <w:r>
        <w:rPr>
          <w:rFonts w:hint="eastAsia" w:ascii="仿宋" w:hAnsi="仿宋" w:eastAsia="仿宋"/>
          <w:sz w:val="28"/>
          <w:szCs w:val="28"/>
        </w:rPr>
        <w:t>运营情况，</w:t>
      </w:r>
      <w:r>
        <w:rPr>
          <w:rFonts w:hint="eastAsia" w:ascii="仿宋" w:hAnsi="仿宋" w:eastAsia="仿宋"/>
          <w:sz w:val="28"/>
          <w:szCs w:val="28"/>
          <w:lang w:eastAsia="zh-CN"/>
        </w:rPr>
        <w:t>不动产项目</w:t>
      </w:r>
      <w:r>
        <w:rPr>
          <w:rFonts w:hint="eastAsia" w:ascii="仿宋" w:hAnsi="仿宋" w:eastAsia="仿宋"/>
          <w:sz w:val="28"/>
          <w:szCs w:val="28"/>
        </w:rPr>
        <w:t>可能因经济环境变化或</w:t>
      </w:r>
      <w:r>
        <w:rPr>
          <w:rFonts w:hint="eastAsia" w:ascii="仿宋" w:hAnsi="仿宋" w:eastAsia="仿宋"/>
          <w:sz w:val="28"/>
          <w:szCs w:val="28"/>
          <w:lang w:val="en-US" w:eastAsia="zh-CN"/>
        </w:rPr>
        <w:t>者</w:t>
      </w:r>
      <w:r>
        <w:rPr>
          <w:rFonts w:hint="eastAsia" w:ascii="仿宋" w:hAnsi="仿宋" w:eastAsia="仿宋"/>
          <w:sz w:val="28"/>
          <w:szCs w:val="28"/>
        </w:rPr>
        <w:t>运营不善等因素影响，导致实际现金流大幅低于测算现金流，存在基金收益率不佳的风险，</w:t>
      </w:r>
      <w:r>
        <w:rPr>
          <w:rFonts w:hint="eastAsia" w:ascii="仿宋" w:hAnsi="仿宋" w:eastAsia="仿宋"/>
          <w:sz w:val="28"/>
          <w:szCs w:val="28"/>
          <w:lang w:eastAsia="zh-CN"/>
        </w:rPr>
        <w:t>不动产项目</w:t>
      </w:r>
      <w:r>
        <w:rPr>
          <w:rFonts w:hint="eastAsia" w:ascii="仿宋" w:hAnsi="仿宋" w:eastAsia="仿宋"/>
          <w:sz w:val="28"/>
          <w:szCs w:val="28"/>
        </w:rPr>
        <w:t>运营过程中租金、收费等收入的波动也将影响基金收益分配水平的稳定。此外，</w:t>
      </w:r>
      <w:r>
        <w:rPr>
          <w:rFonts w:hint="eastAsia" w:ascii="仿宋" w:hAnsi="仿宋" w:eastAsia="仿宋"/>
          <w:sz w:val="28"/>
          <w:szCs w:val="28"/>
          <w:lang w:eastAsia="zh-CN"/>
        </w:rPr>
        <w:t>不动产基金</w:t>
      </w:r>
      <w:r>
        <w:rPr>
          <w:rFonts w:hint="eastAsia" w:ascii="仿宋" w:hAnsi="仿宋" w:eastAsia="仿宋"/>
          <w:sz w:val="28"/>
          <w:szCs w:val="28"/>
        </w:rPr>
        <w:t>可直接或</w:t>
      </w:r>
      <w:r>
        <w:rPr>
          <w:rFonts w:hint="eastAsia" w:ascii="仿宋" w:hAnsi="仿宋" w:eastAsia="仿宋"/>
          <w:sz w:val="28"/>
          <w:szCs w:val="28"/>
          <w:lang w:val="en-US" w:eastAsia="zh-CN"/>
        </w:rPr>
        <w:t>者</w:t>
      </w:r>
      <w:r>
        <w:rPr>
          <w:rFonts w:hint="eastAsia" w:ascii="仿宋" w:hAnsi="仿宋" w:eastAsia="仿宋"/>
          <w:sz w:val="28"/>
          <w:szCs w:val="28"/>
        </w:rPr>
        <w:t>间接对外借款，存在</w:t>
      </w:r>
      <w:r>
        <w:rPr>
          <w:rFonts w:hint="eastAsia" w:ascii="仿宋" w:hAnsi="仿宋" w:eastAsia="仿宋"/>
          <w:sz w:val="28"/>
          <w:szCs w:val="28"/>
          <w:lang w:eastAsia="zh-CN"/>
        </w:rPr>
        <w:t>不动产项目</w:t>
      </w:r>
      <w:r>
        <w:rPr>
          <w:rFonts w:hint="eastAsia" w:ascii="仿宋" w:hAnsi="仿宋" w:eastAsia="仿宋"/>
          <w:sz w:val="28"/>
          <w:szCs w:val="28"/>
        </w:rPr>
        <w:t>经营不达预期，基金无法偿还借款的风险。</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3.流动性风险。</w:t>
      </w:r>
      <w:r>
        <w:rPr>
          <w:rFonts w:hint="eastAsia" w:ascii="仿宋" w:hAnsi="仿宋" w:eastAsia="仿宋"/>
          <w:sz w:val="28"/>
          <w:szCs w:val="28"/>
          <w:lang w:eastAsia="zh-CN"/>
        </w:rPr>
        <w:t>不动产基金</w:t>
      </w:r>
      <w:r>
        <w:rPr>
          <w:rFonts w:hint="eastAsia" w:ascii="仿宋" w:hAnsi="仿宋" w:eastAsia="仿宋"/>
          <w:sz w:val="28"/>
          <w:szCs w:val="28"/>
        </w:rPr>
        <w:t>采取封闭式运作，不开通申购赎回，只能在二级市场交易，存在流动性不足的风险。</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4.终止上市风险。</w:t>
      </w:r>
      <w:r>
        <w:rPr>
          <w:rFonts w:hint="eastAsia" w:ascii="仿宋" w:hAnsi="仿宋" w:eastAsia="仿宋"/>
          <w:sz w:val="28"/>
          <w:szCs w:val="28"/>
          <w:lang w:eastAsia="zh-CN"/>
        </w:rPr>
        <w:t>不动产基金</w:t>
      </w:r>
      <w:r>
        <w:rPr>
          <w:rFonts w:hint="eastAsia" w:ascii="仿宋" w:hAnsi="仿宋" w:eastAsia="仿宋"/>
          <w:sz w:val="28"/>
          <w:szCs w:val="28"/>
        </w:rPr>
        <w:t>运作过程中可能因触发法律法规或</w:t>
      </w:r>
      <w:r>
        <w:rPr>
          <w:rFonts w:hint="eastAsia" w:ascii="仿宋" w:hAnsi="仿宋" w:eastAsia="仿宋"/>
          <w:sz w:val="28"/>
          <w:szCs w:val="28"/>
          <w:lang w:val="en-US" w:eastAsia="zh-CN"/>
        </w:rPr>
        <w:t>者</w:t>
      </w:r>
      <w:r>
        <w:rPr>
          <w:rFonts w:hint="eastAsia" w:ascii="仿宋" w:hAnsi="仿宋" w:eastAsia="仿宋"/>
          <w:sz w:val="28"/>
          <w:szCs w:val="28"/>
        </w:rPr>
        <w:t>交易所</w:t>
      </w:r>
      <w:r>
        <w:rPr>
          <w:rFonts w:hint="eastAsia" w:ascii="仿宋" w:hAnsi="仿宋" w:eastAsia="仿宋"/>
          <w:sz w:val="28"/>
          <w:szCs w:val="28"/>
          <w:lang w:val="en-US" w:eastAsia="zh-CN"/>
        </w:rPr>
        <w:t>业务规则</w:t>
      </w:r>
      <w:r>
        <w:rPr>
          <w:rFonts w:hint="eastAsia" w:ascii="仿宋" w:hAnsi="仿宋" w:eastAsia="仿宋"/>
          <w:sz w:val="28"/>
          <w:szCs w:val="28"/>
        </w:rPr>
        <w:t>规定的终止上市情形而终止上市，导致投资者无法在二级市场交易。</w:t>
      </w:r>
    </w:p>
    <w:p>
      <w:pPr>
        <w:spacing w:line="420" w:lineRule="exact"/>
        <w:ind w:firstLine="560" w:firstLineChars="200"/>
        <w:rPr>
          <w:rFonts w:ascii="仿宋" w:hAnsi="仿宋" w:eastAsia="仿宋"/>
          <w:sz w:val="28"/>
          <w:szCs w:val="28"/>
        </w:rPr>
      </w:pPr>
      <w:r>
        <w:rPr>
          <w:rFonts w:hint="eastAsia" w:ascii="仿宋" w:hAnsi="仿宋" w:eastAsia="仿宋"/>
          <w:sz w:val="28"/>
          <w:szCs w:val="28"/>
        </w:rPr>
        <w:t>5.税收等政策调整风险。</w:t>
      </w:r>
      <w:r>
        <w:rPr>
          <w:rFonts w:hint="eastAsia" w:ascii="仿宋" w:hAnsi="仿宋" w:eastAsia="仿宋"/>
          <w:sz w:val="28"/>
          <w:szCs w:val="28"/>
          <w:lang w:eastAsia="zh-CN"/>
        </w:rPr>
        <w:t>不动产基金</w:t>
      </w:r>
      <w:r>
        <w:rPr>
          <w:rFonts w:hint="eastAsia" w:ascii="仿宋" w:hAnsi="仿宋" w:eastAsia="仿宋"/>
          <w:sz w:val="28"/>
          <w:szCs w:val="28"/>
        </w:rPr>
        <w:t>运作过程中可能涉及基金持有人、公募基金、资产支持证券、项目公司等多层面税负，如果国家税收等政策发生调整，可能影响投资运作与基金收益。</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（三）中信证券作为本基金的销售机构，如因基金设计、运营和基金管理人提供的信息不真实、不准确、不完整而产生的责任，将由基金管理人承担，中信证券不承担任何保证担保责任。</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四）中信证券虽已对本基金的风险要素、客户的风险承受能力进行了评估，实施了客户适当性管理，但受限于评估技术等因素，不能确保基金风险等级与您的实际风险承受能力完全相适应。您应当充分了解本基金的基本性质、风险收益特征、管理费用等信息，根据自身的实际情况审慎选择。</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（五）在基金认购过程中，可能存在因为中信证券、证券交易所、证券登记结算公司，或基金管理人等的技术系统故障或操作差错而影响交易结算的正常进行，从而导致投资者的利益受到影响。</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（六）如国家法律法规和相关政策发生变化，或应监管机构或有权机关之要求，中信证券有可能按规定暂停全部或部分本基金的销售，并按规定办理后续手续。</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（七）本基金认购可能面临合作的本基金管理人因机构解散、依法被撤销、被宣告破产、业务终止等风险。</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（八）本基金在存续期间，如果因出现火灾、地震、瘟疫、社会动乱等不可预见、不能避免或无法克服的不可抗力情形，可能会给投资者造成经济损失。</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九）中信证券在投资者签署基金合同前已向投资者说明有关法律法规、业务规则，详细说明了产品结构和风险收益特征，充分揭示了相关风险；已了解投资者的风险偏好、风险认知能力和承受能力；已向投资者说明投资者的权利。</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（十）中信证券不对本基金的管理人行为承担任何保证或连带责任。如基金运作管理过程中出现任何非中信证券职责范围内的问题导致投资者损失，中信证券不承担任何责任。</w:t>
      </w:r>
    </w:p>
    <w:p>
      <w:pPr>
        <w:pStyle w:val="4"/>
        <w:spacing w:line="420" w:lineRule="exact"/>
        <w:ind w:firstLine="560"/>
        <w:rPr>
          <w:rFonts w:ascii="仿宋" w:hAnsi="仿宋" w:eastAsia="仿宋" w:cs="仿宋"/>
          <w:b/>
          <w:sz w:val="28"/>
          <w:szCs w:val="28"/>
        </w:rPr>
      </w:pPr>
      <w:r>
        <w:rPr>
          <w:rFonts w:hint="eastAsia" w:ascii="仿宋" w:hAnsi="仿宋" w:eastAsia="仿宋"/>
          <w:b/>
          <w:sz w:val="28"/>
          <w:szCs w:val="28"/>
        </w:rPr>
        <w:t>二、销售机构关于本基金的补充风险揭示</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一）投资者应仔细阅读并充分理解基金合同中关于本基金风险揭示、基金基本情况、发售、当事人权利和义务、基金投资、估计与核算、费用与税收、收益分配、信息披露、合同变更、终止和基金财产清算的相关内容；</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（二）投资者应充分了解本基金的产品特征和主要风险，包括基金管理人提供的基金合同、风险揭示书以及本《风险揭示书》所揭示的各类风险；</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（三）中信证券作为销售机构，已向投资者提供了本基金管理人出具的完整的风险揭示书，向投资者进行了充分的风险揭示。</w:t>
      </w:r>
    </w:p>
    <w:p>
      <w:pPr>
        <w:pStyle w:val="4"/>
        <w:spacing w:line="420" w:lineRule="exact"/>
        <w:ind w:firstLine="560"/>
        <w:rPr>
          <w:rFonts w:hint="eastAsia" w:ascii="仿宋" w:hAnsi="仿宋" w:eastAsia="仿宋" w:cstheme="minorBidi"/>
          <w:color w:val="auto"/>
          <w:sz w:val="28"/>
          <w:szCs w:val="28"/>
        </w:rPr>
      </w:pPr>
      <w:r>
        <w:rPr>
          <w:rFonts w:hint="eastAsia" w:ascii="仿宋" w:hAnsi="仿宋" w:eastAsia="仿宋" w:cstheme="minorBidi"/>
          <w:color w:val="auto"/>
          <w:sz w:val="28"/>
          <w:szCs w:val="28"/>
        </w:rPr>
        <w:t>【（四）中信证券同时担任本基金的销售机构和财务顾问等多重角色，存在利益冲突的可能性。】（中信证券同时担任销售机构和财务顾问时增加此条）</w:t>
      </w:r>
    </w:p>
    <w:p>
      <w:pPr>
        <w:adjustRightInd w:val="0"/>
        <w:snapToGrid w:val="0"/>
        <w:spacing w:line="420" w:lineRule="exact"/>
        <w:ind w:firstLine="562" w:firstLineChars="200"/>
        <w:rPr>
          <w:rFonts w:ascii="仿宋" w:hAnsi="仿宋" w:eastAsia="仿宋" w:cs="宋体"/>
          <w:b/>
          <w:kern w:val="0"/>
          <w:sz w:val="28"/>
          <w:szCs w:val="28"/>
        </w:rPr>
      </w:pPr>
      <w:r>
        <w:rPr>
          <w:rFonts w:hint="eastAsia" w:ascii="仿宋" w:hAnsi="仿宋" w:eastAsia="仿宋"/>
          <w:b/>
          <w:sz w:val="28"/>
          <w:szCs w:val="28"/>
        </w:rPr>
        <w:t>本风险揭示书的揭示事项仅为列举事项，且为</w:t>
      </w:r>
      <w:r>
        <w:rPr>
          <w:rFonts w:hint="eastAsia" w:ascii="仿宋" w:hAnsi="仿宋" w:eastAsia="仿宋"/>
          <w:b/>
          <w:sz w:val="28"/>
          <w:szCs w:val="28"/>
          <w:lang w:val="en-US" w:eastAsia="zh-CN"/>
        </w:rPr>
        <w:t>中信证券</w:t>
      </w:r>
      <w:r>
        <w:rPr>
          <w:rFonts w:hint="eastAsia" w:ascii="仿宋" w:hAnsi="仿宋" w:eastAsia="仿宋"/>
          <w:b/>
          <w:sz w:val="28"/>
          <w:szCs w:val="28"/>
        </w:rPr>
        <w:t>在基金管理人全面揭示风险的基础上进行的补充风险揭示和</w:t>
      </w:r>
      <w:bookmarkStart w:id="0" w:name="_GoBack"/>
      <w:bookmarkEnd w:id="0"/>
      <w:r>
        <w:rPr>
          <w:rFonts w:hint="eastAsia" w:ascii="仿宋" w:hAnsi="仿宋" w:eastAsia="仿宋"/>
          <w:b/>
          <w:sz w:val="28"/>
          <w:szCs w:val="28"/>
        </w:rPr>
        <w:t>特别提示，未能详尽列明投资者参与本基金投资所面临的</w:t>
      </w:r>
      <w:r>
        <w:rPr>
          <w:rFonts w:hint="eastAsia" w:ascii="仿宋" w:hAnsi="仿宋" w:eastAsia="仿宋"/>
          <w:b/>
          <w:sz w:val="28"/>
          <w:szCs w:val="28"/>
          <w:lang w:val="en-US" w:eastAsia="zh-CN"/>
        </w:rPr>
        <w:t>所有投资</w:t>
      </w:r>
      <w:r>
        <w:rPr>
          <w:rFonts w:hint="eastAsia" w:ascii="仿宋" w:hAnsi="仿宋" w:eastAsia="仿宋"/>
          <w:b/>
          <w:sz w:val="28"/>
          <w:szCs w:val="28"/>
        </w:rPr>
        <w:t>风险和可能导致投资者资产损失的所有因素。投资者在参与</w:t>
      </w:r>
      <w:r>
        <w:rPr>
          <w:rFonts w:hint="eastAsia" w:ascii="仿宋" w:hAnsi="仿宋" w:eastAsia="仿宋"/>
          <w:b/>
          <w:sz w:val="28"/>
          <w:szCs w:val="28"/>
          <w:lang w:eastAsia="zh-CN"/>
        </w:rPr>
        <w:t>不动产基金</w:t>
      </w:r>
      <w:r>
        <w:rPr>
          <w:rFonts w:hint="eastAsia" w:ascii="仿宋" w:hAnsi="仿宋" w:eastAsia="仿宋"/>
          <w:b/>
          <w:sz w:val="28"/>
          <w:szCs w:val="28"/>
          <w:lang w:val="en-US" w:eastAsia="zh-CN"/>
        </w:rPr>
        <w:t>相关业务</w:t>
      </w:r>
      <w:r>
        <w:rPr>
          <w:rFonts w:hint="eastAsia" w:ascii="仿宋" w:hAnsi="仿宋" w:eastAsia="仿宋"/>
          <w:b/>
          <w:sz w:val="28"/>
          <w:szCs w:val="28"/>
        </w:rPr>
        <w:t>前，应</w:t>
      </w:r>
      <w:r>
        <w:rPr>
          <w:rFonts w:hint="eastAsia" w:ascii="仿宋" w:hAnsi="仿宋" w:eastAsia="仿宋"/>
          <w:b/>
          <w:sz w:val="28"/>
          <w:szCs w:val="28"/>
          <w:lang w:val="en-US" w:eastAsia="zh-CN"/>
        </w:rPr>
        <w:t>当</w:t>
      </w:r>
      <w:r>
        <w:rPr>
          <w:rFonts w:hint="eastAsia" w:ascii="仿宋" w:hAnsi="仿宋" w:eastAsia="仿宋"/>
          <w:b/>
          <w:sz w:val="28"/>
          <w:szCs w:val="28"/>
        </w:rPr>
        <w:t>认真阅读基金合同、招募说明书等法律文件，熟悉</w:t>
      </w:r>
      <w:r>
        <w:rPr>
          <w:rFonts w:hint="eastAsia" w:ascii="仿宋" w:hAnsi="仿宋" w:eastAsia="仿宋"/>
          <w:b/>
          <w:sz w:val="28"/>
          <w:szCs w:val="28"/>
          <w:lang w:eastAsia="zh-CN"/>
        </w:rPr>
        <w:t>不动产基金</w:t>
      </w:r>
      <w:r>
        <w:rPr>
          <w:rFonts w:hint="eastAsia" w:ascii="仿宋" w:hAnsi="仿宋" w:eastAsia="仿宋"/>
          <w:b/>
          <w:sz w:val="28"/>
          <w:szCs w:val="28"/>
        </w:rPr>
        <w:t>相关法律</w:t>
      </w:r>
      <w:r>
        <w:rPr>
          <w:rFonts w:hint="eastAsia" w:ascii="仿宋" w:hAnsi="仿宋" w:eastAsia="仿宋"/>
          <w:b/>
          <w:sz w:val="28"/>
          <w:szCs w:val="28"/>
          <w:lang w:eastAsia="zh-CN"/>
        </w:rPr>
        <w:t>、</w:t>
      </w:r>
      <w:r>
        <w:rPr>
          <w:rFonts w:hint="eastAsia" w:ascii="仿宋" w:hAnsi="仿宋" w:eastAsia="仿宋"/>
          <w:b/>
          <w:sz w:val="28"/>
          <w:szCs w:val="28"/>
          <w:lang w:val="en-US" w:eastAsia="zh-CN"/>
        </w:rPr>
        <w:t>行政</w:t>
      </w:r>
      <w:r>
        <w:rPr>
          <w:rFonts w:hint="eastAsia" w:ascii="仿宋" w:hAnsi="仿宋" w:eastAsia="仿宋"/>
          <w:b/>
          <w:sz w:val="28"/>
          <w:szCs w:val="28"/>
        </w:rPr>
        <w:t>法规、</w:t>
      </w:r>
      <w:r>
        <w:rPr>
          <w:rFonts w:hint="eastAsia" w:ascii="仿宋" w:hAnsi="仿宋" w:eastAsia="仿宋"/>
          <w:b/>
          <w:sz w:val="28"/>
          <w:szCs w:val="28"/>
          <w:lang w:val="en-US" w:eastAsia="zh-CN"/>
        </w:rPr>
        <w:t>部门规章、规范性文件和</w:t>
      </w:r>
      <w:r>
        <w:rPr>
          <w:rFonts w:hint="eastAsia" w:ascii="仿宋" w:hAnsi="仿宋" w:eastAsia="仿宋"/>
          <w:b/>
          <w:sz w:val="28"/>
          <w:szCs w:val="28"/>
        </w:rPr>
        <w:t>交易所</w:t>
      </w:r>
      <w:r>
        <w:rPr>
          <w:rFonts w:hint="eastAsia" w:ascii="仿宋" w:hAnsi="仿宋" w:eastAsia="仿宋"/>
          <w:b/>
          <w:sz w:val="28"/>
          <w:szCs w:val="28"/>
          <w:lang w:val="en-US" w:eastAsia="zh-CN"/>
        </w:rPr>
        <w:t>业务</w:t>
      </w:r>
      <w:r>
        <w:rPr>
          <w:rFonts w:hint="eastAsia" w:ascii="仿宋" w:hAnsi="仿宋" w:eastAsia="仿宋"/>
          <w:b/>
          <w:sz w:val="28"/>
          <w:szCs w:val="28"/>
        </w:rPr>
        <w:t>规则，</w:t>
      </w:r>
      <w:r>
        <w:rPr>
          <w:rFonts w:hint="eastAsia" w:ascii="仿宋" w:hAnsi="仿宋" w:eastAsia="仿宋" w:cs="宋体"/>
          <w:b/>
          <w:kern w:val="0"/>
          <w:sz w:val="28"/>
          <w:szCs w:val="28"/>
        </w:rPr>
        <w:t>对其他可能存在的风险因素也应当有所了解和掌握，自主判断基金投资价值，自主做出投资决策，自行承担投资风险，并确信自己已做好足够的风险评估与财务安排，避免因参与</w:t>
      </w:r>
      <w:r>
        <w:rPr>
          <w:rFonts w:hint="eastAsia" w:ascii="仿宋" w:hAnsi="仿宋" w:eastAsia="仿宋"/>
          <w:b/>
          <w:sz w:val="28"/>
          <w:szCs w:val="28"/>
          <w:lang w:eastAsia="zh-CN"/>
        </w:rPr>
        <w:t>不动产基金</w:t>
      </w:r>
      <w:r>
        <w:rPr>
          <w:rFonts w:hint="eastAsia" w:ascii="仿宋" w:hAnsi="仿宋" w:eastAsia="仿宋"/>
          <w:b/>
          <w:sz w:val="28"/>
          <w:szCs w:val="28"/>
        </w:rPr>
        <w:t>投资</w:t>
      </w:r>
      <w:r>
        <w:rPr>
          <w:rFonts w:hint="eastAsia" w:ascii="仿宋" w:hAnsi="仿宋" w:eastAsia="仿宋" w:cs="宋体"/>
          <w:b/>
          <w:kern w:val="0"/>
          <w:sz w:val="28"/>
          <w:szCs w:val="28"/>
        </w:rPr>
        <w:t>遭受难以承受的损失。</w:t>
      </w:r>
    </w:p>
    <w:p>
      <w:pPr>
        <w:pStyle w:val="4"/>
        <w:spacing w:line="420" w:lineRule="exact"/>
        <w:ind w:firstLine="560"/>
        <w:rPr>
          <w:rFonts w:ascii="仿宋" w:hAnsi="仿宋" w:eastAsia="仿宋" w:cs="仿宋"/>
          <w:b/>
          <w:sz w:val="28"/>
          <w:szCs w:val="28"/>
        </w:rPr>
      </w:pPr>
      <w:r>
        <w:rPr>
          <w:rFonts w:hint="eastAsia" w:ascii="仿宋" w:hAnsi="仿宋" w:eastAsia="仿宋"/>
          <w:b/>
          <w:sz w:val="28"/>
          <w:szCs w:val="28"/>
        </w:rPr>
        <w:t>三、投资者声明</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作为本基金的投资者，本人/机构已充分了解并谨慎评估自身风险承受能力，自愿自行承担投资本基金所面临的风险。本人/机构做出以下陈述和声明，并确认（自然人投资者在尾页签名，机构投资者在尾页盖章）以下内容的真实和正确：</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1、本人/机构承诺本次投资行为是为本人/机构自身购买本基金。</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2、本人/机构承诺本次投资资金为本人/机构合法自有资金、不存在非法汇集他人资金等情况。</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3、本人/机构已仔细阅读并完全理解</w:t>
      </w:r>
      <w:r>
        <w:rPr>
          <w:rFonts w:hint="eastAsia" w:ascii="仿宋" w:hAnsi="仿宋" w:eastAsia="仿宋"/>
          <w:sz w:val="28"/>
          <w:szCs w:val="28"/>
        </w:rPr>
        <w:t>基金管理人提供的基金合同、招募说明书、风险揭示书等法律文件以及中信证券作为销售机构提供的本《风险揭示书》</w:t>
      </w:r>
      <w:r>
        <w:rPr>
          <w:rFonts w:hint="eastAsia" w:ascii="仿宋" w:hAnsi="仿宋" w:eastAsia="仿宋" w:cstheme="minorBidi"/>
          <w:color w:val="auto"/>
          <w:sz w:val="28"/>
          <w:szCs w:val="28"/>
        </w:rPr>
        <w:t>。</w:t>
      </w:r>
    </w:p>
    <w:p>
      <w:pPr>
        <w:pStyle w:val="4"/>
        <w:spacing w:line="420" w:lineRule="exact"/>
        <w:ind w:firstLine="560"/>
        <w:rPr>
          <w:rFonts w:ascii="仿宋" w:hAnsi="仿宋" w:eastAsia="仿宋" w:cstheme="minorBidi"/>
          <w:color w:val="auto"/>
          <w:sz w:val="28"/>
          <w:szCs w:val="28"/>
        </w:rPr>
      </w:pPr>
      <w:r>
        <w:rPr>
          <w:rFonts w:hint="eastAsia" w:ascii="仿宋" w:hAnsi="仿宋" w:eastAsia="仿宋" w:cstheme="minorBidi"/>
          <w:color w:val="auto"/>
          <w:sz w:val="28"/>
          <w:szCs w:val="28"/>
        </w:rPr>
        <w:t>4、本人/机构已</w:t>
      </w:r>
      <w:r>
        <w:rPr>
          <w:rFonts w:hint="eastAsia" w:ascii="仿宋" w:hAnsi="仿宋" w:eastAsia="仿宋"/>
          <w:sz w:val="28"/>
          <w:szCs w:val="28"/>
        </w:rPr>
        <w:t>熟悉</w:t>
      </w:r>
      <w:r>
        <w:rPr>
          <w:rFonts w:hint="eastAsia" w:ascii="仿宋" w:hAnsi="仿宋" w:eastAsia="仿宋"/>
          <w:sz w:val="28"/>
          <w:szCs w:val="28"/>
          <w:lang w:eastAsia="zh-CN"/>
        </w:rPr>
        <w:t>不动产基金</w:t>
      </w:r>
      <w:r>
        <w:rPr>
          <w:rFonts w:hint="eastAsia" w:ascii="仿宋" w:hAnsi="仿宋" w:eastAsia="仿宋"/>
          <w:sz w:val="28"/>
          <w:szCs w:val="28"/>
        </w:rPr>
        <w:t>相关规则，充分了解</w:t>
      </w:r>
      <w:r>
        <w:rPr>
          <w:rFonts w:hint="eastAsia" w:ascii="仿宋" w:hAnsi="仿宋" w:eastAsia="仿宋"/>
          <w:sz w:val="28"/>
          <w:szCs w:val="28"/>
          <w:lang w:eastAsia="zh-CN"/>
        </w:rPr>
        <w:t>不动产基金</w:t>
      </w:r>
      <w:r>
        <w:rPr>
          <w:rFonts w:hint="eastAsia" w:ascii="仿宋" w:hAnsi="仿宋" w:eastAsia="仿宋"/>
          <w:sz w:val="28"/>
          <w:szCs w:val="28"/>
        </w:rPr>
        <w:t>产品结构、风险收益特征和可能存在的各类风险，在充分考虑自身的财务状况、投资目标和风险承受能力的基础上，理性判断并谨慎做出投资决策，</w:t>
      </w:r>
      <w:r>
        <w:rPr>
          <w:rFonts w:hint="eastAsia" w:ascii="仿宋" w:hAnsi="仿宋" w:eastAsia="仿宋" w:cstheme="minorBidi"/>
          <w:color w:val="auto"/>
          <w:sz w:val="28"/>
          <w:szCs w:val="28"/>
        </w:rPr>
        <w:t>愿意自行承担参与本基金投资的全部风险和损失。</w:t>
      </w:r>
    </w:p>
    <w:p>
      <w:pPr>
        <w:spacing w:line="420" w:lineRule="exact"/>
        <w:ind w:firstLine="562" w:firstLineChars="200"/>
        <w:jc w:val="left"/>
        <w:rPr>
          <w:rFonts w:hint="eastAsia" w:ascii="仿宋" w:hAnsi="仿宋" w:eastAsia="仿宋"/>
          <w:b/>
          <w:color w:val="000000"/>
          <w:sz w:val="28"/>
          <w:szCs w:val="28"/>
        </w:rPr>
      </w:pPr>
    </w:p>
    <w:p>
      <w:pPr>
        <w:spacing w:line="420" w:lineRule="exact"/>
        <w:ind w:firstLine="562" w:firstLineChars="200"/>
        <w:jc w:val="left"/>
        <w:rPr>
          <w:rFonts w:ascii="仿宋" w:hAnsi="仿宋" w:eastAsia="仿宋"/>
          <w:b/>
          <w:bCs/>
          <w:color w:val="000000"/>
          <w:sz w:val="28"/>
          <w:szCs w:val="28"/>
        </w:rPr>
      </w:pPr>
      <w:r>
        <w:rPr>
          <w:rFonts w:hint="eastAsia" w:ascii="仿宋" w:hAnsi="仿宋" w:eastAsia="仿宋"/>
          <w:b/>
          <w:color w:val="000000"/>
          <w:sz w:val="28"/>
          <w:szCs w:val="28"/>
        </w:rPr>
        <w:t>投资者在本《风险揭示书》上签字，即表明投资者已经理解并愿意自行承担参与</w:t>
      </w:r>
      <w:r>
        <w:rPr>
          <w:rFonts w:hint="eastAsia" w:ascii="仿宋" w:hAnsi="仿宋" w:eastAsia="仿宋"/>
          <w:b/>
          <w:sz w:val="28"/>
          <w:szCs w:val="28"/>
          <w:lang w:eastAsia="zh-CN"/>
        </w:rPr>
        <w:t>不动产基金</w:t>
      </w:r>
      <w:r>
        <w:rPr>
          <w:rFonts w:hint="eastAsia" w:ascii="仿宋" w:hAnsi="仿宋" w:eastAsia="仿宋"/>
          <w:b/>
          <w:sz w:val="28"/>
          <w:szCs w:val="28"/>
        </w:rPr>
        <w:t>相关业务</w:t>
      </w:r>
      <w:r>
        <w:rPr>
          <w:rFonts w:hint="eastAsia" w:ascii="仿宋" w:hAnsi="仿宋" w:eastAsia="仿宋"/>
          <w:b/>
          <w:color w:val="000000"/>
          <w:sz w:val="28"/>
          <w:szCs w:val="28"/>
        </w:rPr>
        <w:t>的风险和损失。</w:t>
      </w:r>
    </w:p>
    <w:p>
      <w:pPr>
        <w:pStyle w:val="4"/>
        <w:rPr>
          <w:rFonts w:ascii="仿宋" w:hAnsi="仿宋" w:eastAsia="仿宋" w:cs="仿宋"/>
          <w:sz w:val="28"/>
          <w:szCs w:val="28"/>
        </w:rPr>
      </w:pPr>
    </w:p>
    <w:p>
      <w:pPr>
        <w:spacing w:line="540" w:lineRule="exact"/>
        <w:ind w:firstLine="480"/>
        <w:rPr>
          <w:rFonts w:ascii="仿宋" w:hAnsi="仿宋" w:eastAsia="仿宋"/>
          <w:sz w:val="28"/>
          <w:szCs w:val="28"/>
        </w:rPr>
      </w:pPr>
    </w:p>
    <w:p>
      <w:pPr>
        <w:spacing w:line="480" w:lineRule="auto"/>
        <w:ind w:firstLine="560" w:firstLineChars="200"/>
        <w:rPr>
          <w:rFonts w:ascii="仿宋" w:hAnsi="仿宋" w:eastAsia="仿宋"/>
          <w:sz w:val="28"/>
          <w:szCs w:val="28"/>
        </w:rPr>
      </w:pPr>
      <w:r>
        <w:rPr>
          <w:rFonts w:hint="eastAsia" w:ascii="仿宋" w:hAnsi="仿宋" w:eastAsia="仿宋"/>
          <w:sz w:val="28"/>
          <w:szCs w:val="28"/>
        </w:rPr>
        <w:t>客户资金账号：</w:t>
      </w:r>
    </w:p>
    <w:p>
      <w:pPr>
        <w:pStyle w:val="4"/>
        <w:spacing w:line="480" w:lineRule="auto"/>
        <w:ind w:firstLine="560"/>
        <w:rPr>
          <w:rFonts w:ascii="仿宋" w:hAnsi="仿宋" w:eastAsia="仿宋"/>
          <w:color w:val="auto"/>
          <w:sz w:val="28"/>
          <w:szCs w:val="28"/>
        </w:rPr>
      </w:pPr>
      <w:r>
        <w:rPr>
          <w:rFonts w:hint="eastAsia" w:ascii="仿宋" w:hAnsi="仿宋" w:eastAsia="仿宋"/>
          <w:color w:val="auto"/>
          <w:sz w:val="28"/>
          <w:szCs w:val="28"/>
        </w:rPr>
        <w:t>基金投资者：</w:t>
      </w:r>
    </w:p>
    <w:p>
      <w:pPr>
        <w:pStyle w:val="4"/>
        <w:spacing w:line="480" w:lineRule="auto"/>
        <w:ind w:firstLine="560"/>
        <w:rPr>
          <w:rFonts w:ascii="仿宋" w:hAnsi="仿宋" w:eastAsia="仿宋"/>
          <w:color w:val="auto"/>
          <w:sz w:val="28"/>
          <w:szCs w:val="28"/>
        </w:rPr>
      </w:pPr>
      <w:r>
        <w:rPr>
          <w:rFonts w:hint="eastAsia" w:ascii="仿宋" w:hAnsi="仿宋" w:eastAsia="仿宋"/>
          <w:color w:val="auto"/>
          <w:sz w:val="28"/>
          <w:szCs w:val="28"/>
        </w:rPr>
        <w:t>（自然人签字）</w:t>
      </w:r>
    </w:p>
    <w:p>
      <w:pPr>
        <w:pStyle w:val="4"/>
        <w:spacing w:line="480" w:lineRule="auto"/>
        <w:ind w:firstLine="560"/>
        <w:rPr>
          <w:rFonts w:ascii="仿宋" w:hAnsi="仿宋" w:eastAsia="仿宋" w:cs="仿宋"/>
          <w:sz w:val="28"/>
          <w:szCs w:val="28"/>
        </w:rPr>
      </w:pPr>
      <w:r>
        <w:rPr>
          <w:rFonts w:hint="eastAsia" w:ascii="仿宋" w:hAnsi="仿宋" w:eastAsia="仿宋"/>
          <w:color w:val="auto"/>
          <w:sz w:val="28"/>
          <w:szCs w:val="28"/>
        </w:rPr>
        <w:t>（机构法定代表人或授权代理人签字并加盖公章）</w:t>
      </w:r>
    </w:p>
    <w:p>
      <w:pPr>
        <w:pStyle w:val="4"/>
        <w:spacing w:line="480" w:lineRule="auto"/>
        <w:ind w:firstLine="560"/>
        <w:rPr>
          <w:rFonts w:ascii="仿宋" w:hAnsi="仿宋" w:eastAsia="仿宋"/>
          <w:sz w:val="28"/>
          <w:szCs w:val="28"/>
        </w:rPr>
      </w:pPr>
      <w:r>
        <w:rPr>
          <w:rFonts w:hint="eastAsia" w:ascii="仿宋" w:hAnsi="仿宋" w:eastAsia="仿宋"/>
          <w:color w:val="auto"/>
          <w:sz w:val="28"/>
          <w:szCs w:val="28"/>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9676A"/>
    <w:rsid w:val="5AD77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2026-01-28T01:47:00Z</dcterms:created>
  <dc:creator>020251</dc:creator>
  <cp:lastModifiedBy>020251</cp:lastModifiedBy>
  <dcterms:modified xsi:type="dcterms:W3CDTF">2026-01-29T05:11:54Z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D6336BB16DA94882998B3AF1C099A59D</vt:lpwstr>
  </property>
</Properties>
</file>